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cs="宋体"/>
          <w:b/>
          <w:bCs/>
          <w:kern w:val="0"/>
          <w:sz w:val="36"/>
          <w:szCs w:val="36"/>
        </w:rPr>
      </w:pPr>
      <w:r>
        <w:rPr>
          <w:rFonts w:hint="eastAsia" w:ascii="宋体" w:hAnsi="宋体" w:cs="宋体"/>
          <w:b/>
          <w:bCs/>
          <w:kern w:val="0"/>
          <w:sz w:val="36"/>
          <w:szCs w:val="36"/>
        </w:rPr>
        <w:t>辐射建设项目环境影响评价文件审批事项信息公开表</w:t>
      </w:r>
    </w:p>
    <w:tbl>
      <w:tblPr>
        <w:tblStyle w:val="4"/>
        <w:tblW w:w="9343" w:type="dxa"/>
        <w:jc w:val="center"/>
        <w:tblCellSpacing w:w="15" w:type="dxa"/>
        <w:tblInd w:w="0" w:type="dxa"/>
        <w:tblLayout w:type="fixed"/>
        <w:tblCellMar>
          <w:top w:w="15" w:type="dxa"/>
          <w:left w:w="15" w:type="dxa"/>
          <w:bottom w:w="15" w:type="dxa"/>
          <w:right w:w="15" w:type="dxa"/>
        </w:tblCellMar>
      </w:tblPr>
      <w:tblGrid>
        <w:gridCol w:w="9343"/>
      </w:tblGrid>
      <w:tr>
        <w:tblPrEx>
          <w:tblLayout w:type="fixed"/>
        </w:tblPrEx>
        <w:trPr>
          <w:tblCellSpacing w:w="15" w:type="dxa"/>
          <w:jc w:val="center"/>
        </w:trPr>
        <w:tc>
          <w:tcPr>
            <w:tcW w:w="9283" w:type="dxa"/>
            <w:vAlign w:val="center"/>
          </w:tcPr>
          <w:p>
            <w:pPr>
              <w:widowControl/>
              <w:jc w:val="left"/>
              <w:rPr>
                <w:rFonts w:ascii="宋体" w:hAnsi="宋体" w:cs="宋体"/>
                <w:b/>
                <w:kern w:val="0"/>
                <w:szCs w:val="21"/>
              </w:rPr>
            </w:pPr>
          </w:p>
          <w:tbl>
            <w:tblPr>
              <w:tblStyle w:val="4"/>
              <w:tblW w:w="9034" w:type="dxa"/>
              <w:jc w:val="center"/>
              <w:tblInd w:w="1" w:type="dxa"/>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
            <w:tblGrid>
              <w:gridCol w:w="1428"/>
              <w:gridCol w:w="7606"/>
            </w:tblGrid>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许可范围</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聊城市范围内使用Ⅰ类医用放射源、Ⅱ类、Ⅲ类放射源，生产、使用Ⅱ类射线装置，乙、丙级非密封放射性物质工作场所等核技术利用项目新建、扩建、改建和使用Ⅱ类射线装置存在污染的核技术利用项目退役环境影响评价文件审批；广播电台、差转台、电视塔台、卫星地球上行站、雷达、110千伏及220千伏送（输）变电工程（跨市的除外）环境影响评价文件审批。</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1808"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许可依据</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tabs>
                      <w:tab w:val="left" w:pos="1092"/>
                    </w:tabs>
                    <w:jc w:val="left"/>
                    <w:rPr>
                      <w:rFonts w:ascii="宋体" w:hAnsi="宋体" w:cs="宋体"/>
                      <w:kern w:val="0"/>
                      <w:szCs w:val="21"/>
                    </w:rPr>
                  </w:pPr>
                  <w:r>
                    <w:rPr>
                      <w:rFonts w:hint="eastAsia" w:ascii="宋体" w:hAnsi="宋体" w:cs="宋体"/>
                      <w:kern w:val="0"/>
                      <w:szCs w:val="21"/>
                    </w:rPr>
                    <w:t>1.《环境保护法》（主席令第9号，2015年1月1日起施行）第十九条：“编制有关开发利用规划，建设对环境有影响的项目，应当依法进行环境影响评价。”</w:t>
                  </w:r>
                </w:p>
                <w:p>
                  <w:pPr>
                    <w:widowControl/>
                    <w:tabs>
                      <w:tab w:val="left" w:pos="1092"/>
                    </w:tabs>
                    <w:jc w:val="left"/>
                    <w:rPr>
                      <w:rFonts w:ascii="宋体" w:hAnsi="宋体" w:cs="宋体"/>
                      <w:kern w:val="0"/>
                      <w:szCs w:val="21"/>
                    </w:rPr>
                  </w:pPr>
                  <w:r>
                    <w:rPr>
                      <w:rFonts w:hint="eastAsia" w:ascii="宋体" w:hAnsi="宋体" w:cs="宋体"/>
                      <w:kern w:val="0"/>
                      <w:szCs w:val="21"/>
                    </w:rPr>
                    <w:t>2.《环境影响评价法》（主席令第48号，2016年9月1日起施行）第十六条：“ 国家根据建设项目对环境的影响程度，对建设项目的环境影响评价实行分类管理。建设单位应当按照规定组织编制环境影响报告书、环境影响报告表或者填报环境影响登记表（统称环境影响评价文件）。”</w:t>
                  </w:r>
                </w:p>
                <w:p>
                  <w:pPr>
                    <w:widowControl/>
                    <w:tabs>
                      <w:tab w:val="left" w:pos="1092"/>
                    </w:tabs>
                    <w:jc w:val="left"/>
                    <w:rPr>
                      <w:rFonts w:ascii="宋体" w:hAnsi="宋体" w:cs="宋体"/>
                      <w:kern w:val="0"/>
                      <w:szCs w:val="21"/>
                    </w:rPr>
                  </w:pPr>
                  <w:r>
                    <w:rPr>
                      <w:rFonts w:hint="eastAsia" w:ascii="宋体" w:hAnsi="宋体" w:cs="宋体"/>
                      <w:kern w:val="0"/>
                      <w:szCs w:val="21"/>
                    </w:rPr>
                    <w:t>3.《放射性污染防治法》（主席令第6号，2003年10月1日起施行）第二十九条：“ 生产、销售、使用放射性同位素和加速器、中子发生器以及含放射源的射线装置的单位，应当在申请领取许可证前编制环境影响评价文件，报省、自治区、直辖市人民政府环境保护行政主管部门审查批准。”</w:t>
                  </w:r>
                </w:p>
                <w:p>
                  <w:pPr>
                    <w:widowControl/>
                    <w:tabs>
                      <w:tab w:val="left" w:pos="1092"/>
                    </w:tabs>
                    <w:jc w:val="left"/>
                    <w:rPr>
                      <w:rFonts w:ascii="宋体" w:hAnsi="宋体" w:cs="宋体"/>
                      <w:kern w:val="0"/>
                      <w:szCs w:val="21"/>
                    </w:rPr>
                  </w:pPr>
                  <w:r>
                    <w:rPr>
                      <w:rFonts w:hint="eastAsia" w:ascii="宋体" w:hAnsi="宋体" w:cs="宋体"/>
                      <w:kern w:val="0"/>
                      <w:szCs w:val="21"/>
                    </w:rPr>
                    <w:t>4.《建设项目环境保护管理条例》(国务院令第682号，2017年10月1日起施行)第六条：“ 国家实行建设项目环境影响评价制度。” 第九条：“依法应当编制环境影响报告书、环境影响报告表的建设项目，建设单位应当在开工建设前将环境影响报告书、环境影响报告表报有审批权的环境保护行政主管部门审批；建设项目的环境影响评价文件未依法经审批部门审查或者审查后未予批准的，建设单位不得开工建设...”；第十二条：“建设项目环境影响报告书、环境影响报告表经批准后，建设项目的性质、规模、地点、采用的生产工艺或者防治污染、防止生态破坏的措施发生重大变动的，建设单位应当重新报批建设项目环境影响报告书、环境影响报告表。建设项目环境影响报告书、环境影响报告表自批准之日起满5年，建设项目方开工建设的，其环境影响报告书、环境影响报告表应当报原审批部门重新审核。原审批部门应当自收到建设项目环境影响报告书、环境影响报告表之日起10日内，将审核意见书面通知建设单位；逾期未通知的，视为审核同意...”。</w:t>
                  </w:r>
                </w:p>
                <w:p>
                  <w:pPr>
                    <w:widowControl/>
                    <w:tabs>
                      <w:tab w:val="left" w:pos="1092"/>
                    </w:tabs>
                    <w:jc w:val="left"/>
                    <w:rPr>
                      <w:rFonts w:ascii="宋体" w:hAnsi="宋体" w:cs="宋体"/>
                      <w:kern w:val="0"/>
                      <w:szCs w:val="21"/>
                    </w:rPr>
                  </w:pPr>
                  <w:r>
                    <w:rPr>
                      <w:rFonts w:hint="eastAsia" w:ascii="宋体" w:hAnsi="宋体" w:cs="宋体"/>
                      <w:kern w:val="0"/>
                      <w:szCs w:val="21"/>
                    </w:rPr>
                    <w:t>5.《放射性同位素与射线装置安全许可管理办法》(环境保护部令第3号，2008年12月6日起施行）第七条：“辐射工作单位在申请领取许可证前，应当组织编制或填报环境影响评价文件，并依照国家规定程序报环境保护主管部门审批。”6.《建设项目环境影响评价分类管理名录》(环境保护部令第44号，2017年9月1日起施行)第二条：“ 建设单位应当按照本名录的规定，分别组织编制环境影响报告书、环境影响报告表或者填报环境影响登记表。”</w:t>
                  </w:r>
                </w:p>
                <w:p>
                  <w:pPr>
                    <w:widowControl/>
                    <w:tabs>
                      <w:tab w:val="left" w:pos="1092"/>
                    </w:tabs>
                    <w:jc w:val="left"/>
                    <w:rPr>
                      <w:rFonts w:ascii="宋体" w:hAnsi="宋体" w:cs="宋体"/>
                      <w:kern w:val="0"/>
                      <w:szCs w:val="21"/>
                    </w:rPr>
                  </w:pPr>
                  <w:r>
                    <w:rPr>
                      <w:rFonts w:hint="eastAsia" w:ascii="宋体" w:hAnsi="宋体" w:cs="宋体"/>
                      <w:kern w:val="0"/>
                      <w:szCs w:val="21"/>
                    </w:rPr>
                    <w:t xml:space="preserve">                                                   </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612"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许可条件</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1.符合环境保护法律、法规、规章的规定；</w:t>
                  </w:r>
                  <w:r>
                    <w:rPr>
                      <w:rFonts w:ascii="宋体" w:hAnsi="宋体" w:cs="宋体"/>
                      <w:kern w:val="0"/>
                      <w:szCs w:val="21"/>
                    </w:rPr>
                    <w:br w:type="textWrapping"/>
                  </w:r>
                  <w:r>
                    <w:rPr>
                      <w:rFonts w:hint="eastAsia" w:ascii="宋体" w:hAnsi="宋体" w:cs="宋体"/>
                      <w:kern w:val="0"/>
                      <w:szCs w:val="21"/>
                    </w:rPr>
                    <w:t>2.符合国民经济和社会发展规划、生态建设规划、城市总体规划和其他有关规划；</w:t>
                  </w:r>
                </w:p>
                <w:p>
                  <w:pPr>
                    <w:widowControl/>
                    <w:jc w:val="left"/>
                    <w:rPr>
                      <w:rFonts w:ascii="宋体" w:hAnsi="宋体" w:cs="宋体"/>
                      <w:kern w:val="0"/>
                      <w:szCs w:val="21"/>
                    </w:rPr>
                  </w:pPr>
                  <w:r>
                    <w:rPr>
                      <w:rFonts w:hint="eastAsia" w:ascii="宋体" w:hAnsi="宋体" w:cs="宋体"/>
                      <w:kern w:val="0"/>
                      <w:szCs w:val="21"/>
                    </w:rPr>
                    <w:t>3.符合产业政策和宏观调控政策。</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1359"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申请材料</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辐射建设项目环境影响报告书（表）</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许可程序</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1.受理； 2.公示；3.审核；4.公示；5.签批；6.出具许可文书。</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承诺时限</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报告书20个工作日；报告表15个工作日</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292"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收费标准</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无</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收费依据</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无</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年审或年检</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ascii="宋体" w:hAnsi="宋体" w:cs="宋体"/>
                      <w:kern w:val="0"/>
                      <w:szCs w:val="21"/>
                    </w:rPr>
                  </w:pPr>
                  <w:r>
                    <w:rPr>
                      <w:rFonts w:hint="eastAsia" w:ascii="宋体" w:hAnsi="宋体" w:cs="宋体"/>
                      <w:kern w:val="0"/>
                      <w:szCs w:val="21"/>
                    </w:rPr>
                    <w:t>无</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outset"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窗口电话</w:t>
                  </w:r>
                </w:p>
              </w:tc>
              <w:tc>
                <w:tcPr>
                  <w:tcW w:w="7606" w:type="dxa"/>
                  <w:tcBorders>
                    <w:top w:val="outset" w:color="347BC9" w:sz="6" w:space="0"/>
                    <w:left w:val="outset" w:color="347BC9" w:sz="6" w:space="0"/>
                    <w:bottom w:val="outset" w:color="347BC9" w:sz="6" w:space="0"/>
                    <w:right w:val="single" w:color="347BC9" w:sz="6" w:space="0"/>
                  </w:tcBorders>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8909160</w:t>
                  </w:r>
                </w:p>
              </w:tc>
            </w:tr>
            <w:tr>
              <w:tblPrEx>
                <w:tblBorders>
                  <w:top w:val="single" w:color="347BC9" w:sz="6" w:space="0"/>
                  <w:left w:val="single" w:color="347BC9" w:sz="6" w:space="0"/>
                  <w:bottom w:val="outset" w:color="347BC9" w:sz="6" w:space="0"/>
                  <w:right w:val="outset" w:color="347BC9" w:sz="6" w:space="0"/>
                  <w:insideH w:val="none" w:color="auto" w:sz="0" w:space="0"/>
                  <w:insideV w:val="none" w:color="auto" w:sz="0" w:space="0"/>
                </w:tblBorders>
                <w:tblLayout w:type="fixed"/>
                <w:tblCellMar>
                  <w:top w:w="90" w:type="dxa"/>
                  <w:left w:w="90" w:type="dxa"/>
                  <w:bottom w:w="90" w:type="dxa"/>
                  <w:right w:w="90" w:type="dxa"/>
                </w:tblCellMar>
              </w:tblPrEx>
              <w:trPr>
                <w:trHeight w:val="307" w:hRule="atLeast"/>
                <w:jc w:val="center"/>
              </w:trPr>
              <w:tc>
                <w:tcPr>
                  <w:tcW w:w="1428" w:type="dxa"/>
                  <w:tcBorders>
                    <w:top w:val="outset" w:color="347BC9" w:sz="6" w:space="0"/>
                    <w:left w:val="outset" w:color="347BC9" w:sz="6" w:space="0"/>
                    <w:bottom w:val="single" w:color="347BC9" w:sz="6" w:space="0"/>
                    <w:right w:val="single" w:color="347BC9" w:sz="6" w:space="0"/>
                  </w:tcBorders>
                  <w:vAlign w:val="center"/>
                </w:tcPr>
                <w:p>
                  <w:pPr>
                    <w:widowControl/>
                    <w:jc w:val="center"/>
                    <w:rPr>
                      <w:rFonts w:ascii="宋体" w:hAnsi="宋体" w:cs="宋体"/>
                      <w:kern w:val="0"/>
                      <w:szCs w:val="21"/>
                    </w:rPr>
                  </w:pPr>
                  <w:r>
                    <w:rPr>
                      <w:rFonts w:ascii="宋体" w:hAnsi="宋体" w:cs="宋体"/>
                      <w:kern w:val="0"/>
                      <w:szCs w:val="21"/>
                    </w:rPr>
                    <w:t>监督电话</w:t>
                  </w:r>
                </w:p>
              </w:tc>
              <w:tc>
                <w:tcPr>
                  <w:tcW w:w="7606" w:type="dxa"/>
                  <w:tcBorders>
                    <w:top w:val="outset" w:color="347BC9" w:sz="6" w:space="0"/>
                    <w:left w:val="outset" w:color="347BC9" w:sz="6" w:space="0"/>
                    <w:bottom w:val="single" w:color="347BC9" w:sz="6" w:space="0"/>
                    <w:right w:val="single" w:color="347BC9" w:sz="6" w:space="0"/>
                  </w:tcBorders>
                  <w:vAlign w:val="center"/>
                </w:tcPr>
                <w:p>
                  <w:pPr>
                    <w:widowControl/>
                    <w:jc w:val="left"/>
                    <w:rPr>
                      <w:rFonts w:hint="default" w:ascii="宋体" w:hAnsi="宋体" w:eastAsia="宋体" w:cs="宋体"/>
                      <w:kern w:val="0"/>
                      <w:szCs w:val="21"/>
                      <w:lang w:val="en-US" w:eastAsia="zh-CN"/>
                    </w:rPr>
                  </w:pPr>
                  <w:r>
                    <w:rPr>
                      <w:rFonts w:hint="eastAsia" w:ascii="宋体" w:hAnsi="宋体" w:cs="宋体"/>
                      <w:kern w:val="0"/>
                      <w:szCs w:val="21"/>
                      <w:lang w:val="en-US" w:eastAsia="zh-CN"/>
                    </w:rPr>
                    <w:t>8900511</w:t>
                  </w:r>
                  <w:bookmarkStart w:id="0" w:name="_GoBack"/>
                  <w:bookmarkEnd w:id="0"/>
                </w:p>
              </w:tc>
            </w:tr>
          </w:tbl>
          <w:p>
            <w:pPr>
              <w:pStyle w:val="6"/>
              <w:widowControl/>
              <w:ind w:left="870" w:firstLine="0" w:firstLineChars="0"/>
              <w:jc w:val="left"/>
              <w:rPr>
                <w:rFonts w:ascii="宋体" w:hAnsi="宋体" w:cs="宋体"/>
                <w:kern w:val="0"/>
                <w:szCs w:val="21"/>
              </w:rPr>
            </w:pPr>
          </w:p>
        </w:tc>
      </w:tr>
    </w:tbl>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36F7645"/>
    <w:rsid w:val="002C54F9"/>
    <w:rsid w:val="00366036"/>
    <w:rsid w:val="00425D21"/>
    <w:rsid w:val="004E10A7"/>
    <w:rsid w:val="00502EFE"/>
    <w:rsid w:val="005B07BB"/>
    <w:rsid w:val="006C3917"/>
    <w:rsid w:val="00880794"/>
    <w:rsid w:val="00ED1448"/>
    <w:rsid w:val="00EE0F0F"/>
    <w:rsid w:val="385030EB"/>
    <w:rsid w:val="636F76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C3D09D-FD24-4059-A0AA-B5B3423C3EB1}">
  <ds:schemaRefs/>
</ds:datastoreItem>
</file>

<file path=docProps/app.xml><?xml version="1.0" encoding="utf-8"?>
<Properties xmlns="http://schemas.openxmlformats.org/officeDocument/2006/extended-properties" xmlns:vt="http://schemas.openxmlformats.org/officeDocument/2006/docPropsVTypes">
  <Template>0</Template>
  <Pages>2</Pages>
  <Words>219</Words>
  <Characters>1253</Characters>
  <Lines>10</Lines>
  <Paragraphs>2</Paragraphs>
  <TotalTime>16</TotalTime>
  <ScaleCrop>false</ScaleCrop>
  <LinksUpToDate>false</LinksUpToDate>
  <CharactersWithSpaces>1470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2018-07-13T09:23:00Z</dcterms:created>
  <dc:creator>树屋</dc:creator>
  <cp:lastModifiedBy>lenovo</cp:lastModifiedBy>
  <dcterms:modified xsi:type="dcterms:W3CDTF">2019-06-20T02:04:09Z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